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CA9F" w14:textId="2D456DF4" w:rsidR="00E806C0" w:rsidRDefault="00E806C0" w:rsidP="00E806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Załącznik Nr </w:t>
      </w:r>
      <w:r w:rsidR="00DA69FE">
        <w:rPr>
          <w:rFonts w:ascii="Times New Roman" w:hAnsi="Times New Roman"/>
          <w:sz w:val="24"/>
          <w:szCs w:val="24"/>
        </w:rPr>
        <w:t>2</w:t>
      </w:r>
    </w:p>
    <w:p w14:paraId="59630FFF" w14:textId="3FA19181" w:rsidR="00E806C0" w:rsidRPr="00E806C0" w:rsidRDefault="00E806C0" w:rsidP="00E806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806C0">
        <w:rPr>
          <w:rFonts w:ascii="Times New Roman" w:hAnsi="Times New Roman"/>
          <w:b/>
          <w:bCs/>
          <w:sz w:val="24"/>
          <w:szCs w:val="24"/>
        </w:rPr>
        <w:t>Parametry  fizykochemiczne oleju opałowego</w:t>
      </w:r>
    </w:p>
    <w:p w14:paraId="5C1AC5A7" w14:textId="2A64000F" w:rsidR="00E806C0" w:rsidRDefault="00E806C0" w:rsidP="00E80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Olej opałowy do celów grzewczych powinien spełniać wymagania obowiązujące w Polsce normy jakościowej PN-C96024:2011, Aprobat Europejskich oraz Rozporządzenia Ministra Energii w sprawie wymagań jakościowych dotyczących zawartości siarki dla olejów oraz rodzajów instalacji i warunków, w których będą stosowane ciężkie oleje opałowe (Dz. U. z 2016.2008 z dn.14.12.2016).</w:t>
      </w:r>
    </w:p>
    <w:p w14:paraId="0A1D6C44" w14:textId="77777777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Olej opałowy którego dostawa jest przedmiotem zamówienia, powinien odpowiadać następującym parametrom:</w:t>
      </w:r>
    </w:p>
    <w:p w14:paraId="25CF22F4" w14:textId="77777777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gęstość w temperaturze 15oC, max (kg/m3) 860</w:t>
      </w:r>
    </w:p>
    <w:p w14:paraId="167CB19A" w14:textId="77777777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wartość opałowa, min. (MJ/kg) 42,6</w:t>
      </w:r>
    </w:p>
    <w:p w14:paraId="48B614F2" w14:textId="77777777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temperatura zapłonu, min. (ºC) 56</w:t>
      </w:r>
    </w:p>
    <w:p w14:paraId="0C4E6401" w14:textId="77777777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lepkość kinematyczna w 20ºC, max. (mm2/s) 6 </w:t>
      </w:r>
    </w:p>
    <w:p w14:paraId="365F36E8" w14:textId="77777777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 frakcyjny:</w:t>
      </w:r>
    </w:p>
    <w:p w14:paraId="7DCA3320" w14:textId="77777777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250ºC destyluje, max. (%(v/v)) 65</w:t>
      </w:r>
    </w:p>
    <w:p w14:paraId="51185274" w14:textId="77777777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350ºC destyluje, min. (%(v/v)) 85</w:t>
      </w:r>
    </w:p>
    <w:p w14:paraId="2D20017C" w14:textId="77777777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temperatura płynięcia, max. (ºC) -20</w:t>
      </w:r>
    </w:p>
    <w:p w14:paraId="3FE5C79E" w14:textId="77777777" w:rsidR="00E806C0" w:rsidRDefault="00E806C0" w:rsidP="00E8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pozostałość po koksowaniu z 10%</w:t>
      </w:r>
    </w:p>
    <w:p w14:paraId="6D27BC81" w14:textId="77777777" w:rsidR="00E806C0" w:rsidRDefault="00E806C0" w:rsidP="00E806C0"/>
    <w:p w14:paraId="0A127D9B" w14:textId="77777777" w:rsidR="003E35D1" w:rsidRPr="00E806C0" w:rsidRDefault="003E35D1" w:rsidP="00E806C0"/>
    <w:sectPr w:rsidR="003E35D1" w:rsidRPr="00E8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C0"/>
    <w:rsid w:val="002B37FF"/>
    <w:rsid w:val="003E35D1"/>
    <w:rsid w:val="00DA69FE"/>
    <w:rsid w:val="00E8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16D7"/>
  <w15:chartTrackingRefBased/>
  <w15:docId w15:val="{3F8801E2-2B16-474B-9D39-CF162318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6C0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Więckowska</dc:creator>
  <cp:keywords/>
  <dc:description/>
  <cp:lastModifiedBy>Wanda Więckowska</cp:lastModifiedBy>
  <cp:revision>5</cp:revision>
  <dcterms:created xsi:type="dcterms:W3CDTF">2022-10-20T11:26:00Z</dcterms:created>
  <dcterms:modified xsi:type="dcterms:W3CDTF">2022-10-20T11:40:00Z</dcterms:modified>
</cp:coreProperties>
</file>